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Neorganski polimerni materijali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NPM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D49E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D49E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303AC3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03AC3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5F7CC9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7CC9">
              <w:rPr>
                <w:rFonts w:asciiTheme="majorHAnsi" w:hAnsiTheme="majorHAnsi" w:cs="Arial"/>
                <w:b/>
                <w:sz w:val="18"/>
                <w:szCs w:val="18"/>
              </w:rPr>
              <w:t>80,58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5F7CC9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7CC9">
              <w:rPr>
                <w:rFonts w:asciiTheme="majorHAnsi" w:hAnsiTheme="majorHAnsi" w:cs="Arial"/>
                <w:b/>
                <w:sz w:val="18"/>
                <w:szCs w:val="18"/>
              </w:rPr>
              <w:t>114,3333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Primijenjena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CF060B" w:rsidRPr="00CF060B">
              <w:rPr>
                <w:rFonts w:asciiTheme="majorHAnsi" w:hAnsiTheme="majorHAnsi" w:cs="Arial"/>
                <w:b/>
                <w:sz w:val="18"/>
                <w:szCs w:val="18"/>
              </w:rPr>
              <w:t>svajanje  teoretskih i praktičkih znanja o principima i primjeni neorganskih i hibridnih polimernih materija, te inovacija u praktičnoj primjeni ovih polimera.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 w:rsidRPr="00CF060B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na polju primijenjene neorganske hemije.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CF060B" w:rsidRPr="00CF060B">
              <w:rPr>
                <w:rFonts w:asciiTheme="majorHAnsi" w:hAnsiTheme="majorHAnsi" w:cs="Arial"/>
                <w:b/>
                <w:sz w:val="18"/>
                <w:szCs w:val="18"/>
              </w:rPr>
              <w:t>potreba hibridnih neorganskih polimera kao membranskih materijala. Inovativna primjena neorganskih polimera (geopolimera). Materijali na bazi polimera za uklanjanje nanootpada iz vode. Napredni sintetički i hibridni polimerni biomaterijali dobiveni iz anorganskih i mješovitih organsko-anorganskih izvora. Hemija stakla i anorganski polimerni cementi. Polimerni nanokompoziti na bazi poliolefina. Neorgansko-polimerne solarne ćelije. Sinteza neorganskih polimera (polisilana, polifosfazena...). Metode preparacije elastomernih nanokompozita.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060B" w:rsidRPr="00CF060B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1..</w:t>
            </w:r>
            <w:r w:rsidR="00CF060B" w:rsidRPr="00CF060B">
              <w:rPr>
                <w:rFonts w:asciiTheme="majorHAnsi" w:hAnsiTheme="majorHAnsi" w:cs="Arial"/>
                <w:b/>
                <w:sz w:val="18"/>
                <w:szCs w:val="18"/>
              </w:rPr>
              <w:t>Inorganic polymers, Second Editions, James E. Mark, Harry R. Allcock, and Robert West</w:t>
            </w:r>
          </w:p>
          <w:p w:rsidR="00903591" w:rsidRDefault="00CF060B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CF060B">
              <w:rPr>
                <w:rFonts w:asciiTheme="majorHAnsi" w:hAnsiTheme="majorHAnsi" w:cs="Arial"/>
                <w:b/>
                <w:sz w:val="18"/>
                <w:szCs w:val="18"/>
              </w:rPr>
              <w:t>Smart Inorganic Polymers: Synthesis, Properties, and Emerging Applications in Materials and Life Sciences, Editor(s):Evamarie Hey-Hawkins, Muriel Hissler,  2019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060B" w:rsidRPr="00CF060B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CF060B" w:rsidRPr="00CF060B">
              <w:rPr>
                <w:rFonts w:asciiTheme="majorHAnsi" w:hAnsiTheme="majorHAnsi" w:cs="Arial"/>
                <w:b/>
                <w:sz w:val="18"/>
                <w:szCs w:val="18"/>
              </w:rPr>
              <w:t>https://www.sciencedirect.com/topics/chemical-engineering/inorganic-polymer</w:t>
            </w:r>
          </w:p>
          <w:p w:rsidR="00903591" w:rsidRDefault="00CF060B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060B">
              <w:rPr>
                <w:rFonts w:asciiTheme="majorHAnsi" w:hAnsiTheme="majorHAnsi" w:cs="Arial"/>
                <w:b/>
                <w:sz w:val="18"/>
                <w:szCs w:val="18"/>
              </w:rPr>
              <w:t>https://www.sciencedirect.com/science/article/pii/B9780128146736000085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C18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C18A0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C18A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060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F060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F060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CC18A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CC18A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C18A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9EF" w:rsidRDefault="00ED49EF">
      <w:pPr>
        <w:spacing w:line="240" w:lineRule="auto"/>
      </w:pPr>
      <w:r>
        <w:separator/>
      </w:r>
    </w:p>
  </w:endnote>
  <w:endnote w:type="continuationSeparator" w:id="0">
    <w:p w:rsidR="00ED49EF" w:rsidRDefault="00ED49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C18A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C18A0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C18A0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9EF" w:rsidRDefault="00ED49EF">
      <w:pPr>
        <w:spacing w:after="0"/>
      </w:pPr>
      <w:r>
        <w:separator/>
      </w:r>
    </w:p>
  </w:footnote>
  <w:footnote w:type="continuationSeparator" w:id="0">
    <w:p w:rsidR="00ED49EF" w:rsidRDefault="00ED49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3AC3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72E8E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5F7CC9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22B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9C3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515F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18A0"/>
    <w:rsid w:val="00CC4E38"/>
    <w:rsid w:val="00CD2E60"/>
    <w:rsid w:val="00CD73A9"/>
    <w:rsid w:val="00CE1410"/>
    <w:rsid w:val="00CE2A8D"/>
    <w:rsid w:val="00CE7CF4"/>
    <w:rsid w:val="00CF060B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D49EF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B17A-F2B1-40A1-9797-BC0F08633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2025-11-17T13:12:00Z</dcterms:created>
  <dcterms:modified xsi:type="dcterms:W3CDTF">2025-11-21T09:14:00Z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